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6   ·   H I R I N G   &amp;   S E L E C T I O N</w:t>
      </w:r>
    </w:p>
    <w:p>
      <w:pPr>
        <w:pStyle w:val="Heading1"/>
        <w:spacing w:after="60" w:before="0"/>
      </w:pPr>
      <w:r>
        <w:rPr>
          <w:rFonts w:ascii="Arial" w:cs="Arial" w:eastAsia="Arial" w:hAnsi="Arial"/>
          <w:b/>
          <w:bCs/>
          <w:color w:val="333333"/>
          <w:sz w:val="40"/>
          <w:szCs w:val="40"/>
        </w:rPr>
        <w:t xml:space="preserve">Cognitive &amp; Personality Assessments</w:t>
      </w:r>
    </w:p>
    <w:p>
      <w:pPr>
        <w:pBdr>
          <w:bottom w:val="single" w:color="6B7A3F" w:sz="8" w:space="8"/>
        </w:pBdr>
        <w:spacing w:after="200"/>
      </w:pPr>
      <w:r>
        <w:rPr>
          <w:rFonts w:ascii="Arial" w:cs="Arial" w:eastAsia="Arial" w:hAnsi="Arial"/>
          <w:i/>
          <w:iCs/>
          <w:color w:val="6E6E6E"/>
          <w:sz w:val="21"/>
          <w:szCs w:val="21"/>
        </w:rPr>
        <w:t xml:space="preserve">Know what the report can and can't tell you</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Formal assessments measure general mental ability (reasoning, learning speed) or stable personality traits, usually the Big Five: conscientiousness, emotional stability, extraversion, agreeableness, openness. These are typically HR-owned and vendor-run. Your job as a manager is to be a smart consumer of the results, not an amateur psychometrician.</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General cognitive ability is one of the strongest single predictors of performance across jobs, especially complex ones, mostly because it predicts how fast people learn. Among personality traits, conscientiousness is the most consistent performer. But every score is a probability, not a verdict. Assessments improve your batting average across many hires. They don't decide individual ones.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Treat scores as one input among several. </w:t>
      </w:r>
      <w:r>
        <w:rPr>
          <w:rFonts w:ascii="Arial" w:cs="Arial" w:eastAsia="Arial" w:hAnsi="Arial"/>
          <w:color w:val="333333"/>
          <w:sz w:val="20"/>
          <w:szCs w:val="20"/>
        </w:rPr>
        <w:t xml:space="preserve">A structured data point next to interviews and work samples. Never a single-score veto.</w:t>
      </w:r>
    </w:p>
    <w:p>
      <w:pPr>
        <w:pStyle w:val="ListParagraph"/>
        <w:numPr>
          <w:ilvl w:val="0"/>
          <w:numId w:val="2"/>
        </w:numPr>
        <w:spacing w:after="70"/>
      </w:pPr>
      <w:r>
        <w:rPr>
          <w:rFonts w:ascii="Arial" w:cs="Arial" w:eastAsia="Arial" w:hAnsi="Arial"/>
          <w:b/>
          <w:bCs/>
          <w:color w:val="333333"/>
          <w:sz w:val="20"/>
          <w:szCs w:val="20"/>
        </w:rPr>
        <w:t xml:space="preserve">Read the trait, not the label. </w:t>
      </w:r>
      <w:r>
        <w:rPr>
          <w:rFonts w:ascii="Arial" w:cs="Arial" w:eastAsia="Arial" w:hAnsi="Arial"/>
          <w:color w:val="333333"/>
          <w:sz w:val="20"/>
          <w:szCs w:val="20"/>
        </w:rPr>
        <w:t xml:space="preserve">“Low agreeableness” isn't “difficult person.” It can mean comfortable with conflict, which is an asset in plenty of roles.</w:t>
      </w:r>
    </w:p>
    <w:p>
      <w:pPr>
        <w:pStyle w:val="ListParagraph"/>
        <w:numPr>
          <w:ilvl w:val="0"/>
          <w:numId w:val="2"/>
        </w:numPr>
        <w:spacing w:after="70"/>
      </w:pPr>
      <w:r>
        <w:rPr>
          <w:rFonts w:ascii="Arial" w:cs="Arial" w:eastAsia="Arial" w:hAnsi="Arial"/>
          <w:b/>
          <w:bCs/>
          <w:color w:val="333333"/>
          <w:sz w:val="20"/>
          <w:szCs w:val="20"/>
        </w:rPr>
        <w:t xml:space="preserve">Match traits to what the job actually demands. </w:t>
      </w:r>
      <w:r>
        <w:rPr>
          <w:rFonts w:ascii="Arial" w:cs="Arial" w:eastAsia="Arial" w:hAnsi="Arial"/>
          <w:color w:val="333333"/>
          <w:sz w:val="20"/>
          <w:szCs w:val="20"/>
        </w:rPr>
        <w:t xml:space="preserve">High extraversion matters for prospecting sales. It's irrelevant for most analyst roles. Ask what the role needs before caring about a score.</w:t>
      </w:r>
    </w:p>
    <w:p>
      <w:pPr>
        <w:pStyle w:val="ListParagraph"/>
        <w:numPr>
          <w:ilvl w:val="0"/>
          <w:numId w:val="2"/>
        </w:numPr>
        <w:spacing w:after="70"/>
      </w:pPr>
      <w:r>
        <w:rPr>
          <w:rFonts w:ascii="Arial" w:cs="Arial" w:eastAsia="Arial" w:hAnsi="Arial"/>
          <w:b/>
          <w:bCs/>
          <w:color w:val="333333"/>
          <w:sz w:val="20"/>
          <w:szCs w:val="20"/>
        </w:rPr>
        <w:t xml:space="preserve">Ask HR the validity question. </w:t>
      </w:r>
      <w:r>
        <w:rPr>
          <w:rFonts w:ascii="Arial" w:cs="Arial" w:eastAsia="Arial" w:hAnsi="Arial"/>
          <w:color w:val="333333"/>
          <w:sz w:val="20"/>
          <w:szCs w:val="20"/>
        </w:rPr>
        <w:t xml:space="preserve">“What evidence links this instrument to performance in roles like ours?” Good vendors have an answer. Bad ones have a brochure.</w:t>
      </w:r>
    </w:p>
    <w:p>
      <w:pPr>
        <w:pStyle w:val="ListParagraph"/>
        <w:numPr>
          <w:ilvl w:val="0"/>
          <w:numId w:val="2"/>
        </w:numPr>
        <w:spacing w:after="70"/>
      </w:pPr>
      <w:r>
        <w:rPr>
          <w:rFonts w:ascii="Arial" w:cs="Arial" w:eastAsia="Arial" w:hAnsi="Arial"/>
          <w:b/>
          <w:bCs/>
          <w:color w:val="333333"/>
          <w:sz w:val="20"/>
          <w:szCs w:val="20"/>
        </w:rPr>
        <w:t xml:space="preserve">Keep raw reports out of circulation. </w:t>
      </w:r>
      <w:r>
        <w:rPr>
          <w:rFonts w:ascii="Arial" w:cs="Arial" w:eastAsia="Arial" w:hAnsi="Arial"/>
          <w:color w:val="333333"/>
          <w:sz w:val="20"/>
          <w:szCs w:val="20"/>
        </w:rPr>
        <w:t xml:space="preserve">Debrief results with candidates carefully or not at all. Labels stick.</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The veto trap. </w:t>
      </w:r>
      <w:r>
        <w:rPr>
          <w:rFonts w:ascii="Arial" w:cs="Arial" w:eastAsia="Arial" w:hAnsi="Arial"/>
          <w:color w:val="333333"/>
          <w:sz w:val="20"/>
          <w:szCs w:val="20"/>
        </w:rPr>
        <w:t xml:space="preserve">Rejecting a strong candidate over one subscale score is how good assessments produce bad decisions.</w:t>
      </w:r>
    </w:p>
    <w:p>
      <w:pPr>
        <w:pStyle w:val="ListParagraph"/>
        <w:numPr>
          <w:ilvl w:val="0"/>
          <w:numId w:val="3"/>
        </w:numPr>
        <w:spacing w:after="70"/>
      </w:pPr>
      <w:r>
        <w:rPr>
          <w:rFonts w:ascii="Arial" w:cs="Arial" w:eastAsia="Arial" w:hAnsi="Arial"/>
          <w:b/>
          <w:bCs/>
          <w:color w:val="333333"/>
          <w:sz w:val="20"/>
          <w:szCs w:val="20"/>
        </w:rPr>
        <w:t xml:space="preserve">Unvalidated quizzes. </w:t>
      </w:r>
      <w:r>
        <w:rPr>
          <w:rFonts w:ascii="Arial" w:cs="Arial" w:eastAsia="Arial" w:hAnsi="Arial"/>
          <w:color w:val="333333"/>
          <w:sz w:val="20"/>
          <w:szCs w:val="20"/>
        </w:rPr>
        <w:t xml:space="preserve">Four-letter type indicators are conversation starters, not selection tools. The predictive evidence isn't there.</w:t>
      </w:r>
    </w:p>
    <w:p>
      <w:pPr>
        <w:pStyle w:val="ListParagraph"/>
        <w:numPr>
          <w:ilvl w:val="0"/>
          <w:numId w:val="3"/>
        </w:numPr>
        <w:spacing w:after="70"/>
      </w:pPr>
      <w:r>
        <w:rPr>
          <w:rFonts w:ascii="Arial" w:cs="Arial" w:eastAsia="Arial" w:hAnsi="Arial"/>
          <w:b/>
          <w:bCs/>
          <w:color w:val="333333"/>
          <w:sz w:val="20"/>
          <w:szCs w:val="20"/>
        </w:rPr>
        <w:t xml:space="preserve">Ignoring the legal side. </w:t>
      </w:r>
      <w:r>
        <w:rPr>
          <w:rFonts w:ascii="Arial" w:cs="Arial" w:eastAsia="Arial" w:hAnsi="Arial"/>
          <w:color w:val="333333"/>
          <w:sz w:val="20"/>
          <w:szCs w:val="20"/>
        </w:rPr>
        <w:t xml:space="preserve">Selection assessments carry compliance obligations. If HR isn't involved, stop.</w:t>
      </w:r>
    </w:p>
    <w:p>
      <w:pPr>
        <w:pBdr>
          <w:left w:val="single" w:color="6B7A3F" w:sz="18" w:space="10"/>
        </w:pBdr>
        <w:spacing w:after="100" w:before="140"/>
        <w:ind w:left="240"/>
      </w:pPr>
      <w:r>
        <w:rPr>
          <w:rFonts w:ascii="Arial" w:cs="Arial" w:eastAsia="Arial" w:hAnsi="Arial"/>
          <w:i/>
          <w:iCs/>
          <w:color w:val="4A5528"/>
          <w:sz w:val="20"/>
          <w:szCs w:val="20"/>
        </w:rPr>
        <w:t xml:space="preserve">Shortcut: when a report lands, ask one question. “What does this predict about how they'll learn and work?” Ignore anything that doesn't answer it.</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8"/>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2026-07-12T22:30:26.374Z</dcterms:created>
  <dcterms:modified xsi:type="dcterms:W3CDTF">2026-07-12T22:30:26.374Z</dcterms:modified>
</cp:coreProperties>
</file>

<file path=docProps/custom.xml><?xml version="1.0" encoding="utf-8"?>
<Properties xmlns="http://schemas.openxmlformats.org/officeDocument/2006/custom-properties" xmlns:vt="http://schemas.openxmlformats.org/officeDocument/2006/docPropsVTypes"/>
</file>