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1 7   ·   E N G A G E M E N T   &amp;   R E T E N T I O N</w:t>
      </w:r>
    </w:p>
    <w:p>
      <w:pPr>
        <w:pStyle w:val="Heading1"/>
        <w:spacing w:after="60" w:before="0"/>
      </w:pPr>
      <w:r>
        <w:rPr>
          <w:rFonts w:ascii="Arial" w:cs="Arial" w:eastAsia="Arial" w:hAnsi="Arial"/>
          <w:b/>
          <w:bCs/>
          <w:color w:val="333333"/>
          <w:sz w:val="40"/>
          <w:szCs w:val="40"/>
        </w:rPr>
        <w:t xml:space="preserve">Pulse Surveys</w:t>
      </w:r>
    </w:p>
    <w:p>
      <w:pPr>
        <w:pBdr>
          <w:bottom w:val="single" w:color="6B7A3F" w:sz="8" w:space="8"/>
        </w:pBdr>
        <w:spacing w:after="200"/>
      </w:pPr>
      <w:r>
        <w:rPr>
          <w:rFonts w:ascii="Arial" w:cs="Arial" w:eastAsia="Arial" w:hAnsi="Arial"/>
          <w:i/>
          <w:iCs/>
          <w:color w:val="6E6E6E"/>
          <w:sz w:val="21"/>
          <w:szCs w:val="21"/>
        </w:rPr>
        <w:t xml:space="preserve">Five questions monthly beats sixty questions annually</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A pulse survey is a short, frequent check on team sentiment. Usually 3 to 5 questions, monthly or quarterly, instead of (or alongside) the sprawling annual engagement survey. The design principle: measure less, more often, and act faster.</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Annual surveys measure the past. By the time results arrive, whatever caused them is six months gone. Frequent short pulses catch problems while they're small and trends while they're still bendable. Just as important: a tight ask-act-report loop builds the belief that surveys change things, and that belief is the only reason anyone answers honestly.</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Fix 3 core questions and rotate 1 or 2. </w:t>
      </w:r>
      <w:r>
        <w:rPr>
          <w:rFonts w:ascii="Arial" w:cs="Arial" w:eastAsia="Arial" w:hAnsi="Arial"/>
          <w:color w:val="333333"/>
          <w:sz w:val="20"/>
          <w:szCs w:val="20"/>
        </w:rPr>
        <w:t xml:space="preserve">Keep a stable spine so you can trend it. Something like: I'd recommend this team, I have what I need to do my job, I see a future here.</w:t>
      </w:r>
    </w:p>
    <w:p>
      <w:pPr>
        <w:pStyle w:val="ListParagraph"/>
        <w:numPr>
          <w:ilvl w:val="0"/>
          <w:numId w:val="2"/>
        </w:numPr>
        <w:spacing w:after="70"/>
      </w:pPr>
      <w:r>
        <w:rPr>
          <w:rFonts w:ascii="Arial" w:cs="Arial" w:eastAsia="Arial" w:hAnsi="Arial"/>
          <w:b/>
          <w:bCs/>
          <w:color w:val="333333"/>
          <w:sz w:val="20"/>
          <w:szCs w:val="20"/>
        </w:rPr>
        <w:t xml:space="preserve">Always include one open text box. </w:t>
      </w:r>
      <w:r>
        <w:rPr>
          <w:rFonts w:ascii="Arial" w:cs="Arial" w:eastAsia="Arial" w:hAnsi="Arial"/>
          <w:color w:val="333333"/>
          <w:sz w:val="20"/>
          <w:szCs w:val="20"/>
        </w:rPr>
        <w:t xml:space="preserve">“What's one thing we should fix?” produces more actionable signal than every scale item combined.</w:t>
      </w:r>
    </w:p>
    <w:p>
      <w:pPr>
        <w:pStyle w:val="ListParagraph"/>
        <w:numPr>
          <w:ilvl w:val="0"/>
          <w:numId w:val="2"/>
        </w:numPr>
        <w:spacing w:after="70"/>
      </w:pPr>
      <w:r>
        <w:rPr>
          <w:rFonts w:ascii="Arial" w:cs="Arial" w:eastAsia="Arial" w:hAnsi="Arial"/>
          <w:b/>
          <w:bCs/>
          <w:color w:val="333333"/>
          <w:sz w:val="20"/>
          <w:szCs w:val="20"/>
        </w:rPr>
        <w:t xml:space="preserve">Watch the trend, not the score. </w:t>
      </w:r>
      <w:r>
        <w:rPr>
          <w:rFonts w:ascii="Arial" w:cs="Arial" w:eastAsia="Arial" w:hAnsi="Arial"/>
          <w:color w:val="333333"/>
          <w:sz w:val="20"/>
          <w:szCs w:val="20"/>
        </w:rPr>
        <w:t xml:space="preserve">A 3.9 means little. A 4.4 that fell to 3.9 in two months means everything.</w:t>
      </w:r>
    </w:p>
    <w:p>
      <w:pPr>
        <w:pStyle w:val="ListParagraph"/>
        <w:numPr>
          <w:ilvl w:val="0"/>
          <w:numId w:val="2"/>
        </w:numPr>
        <w:spacing w:after="70"/>
      </w:pPr>
      <w:r>
        <w:rPr>
          <w:rFonts w:ascii="Arial" w:cs="Arial" w:eastAsia="Arial" w:hAnsi="Arial"/>
          <w:b/>
          <w:bCs/>
          <w:color w:val="333333"/>
          <w:sz w:val="20"/>
          <w:szCs w:val="20"/>
        </w:rPr>
        <w:t xml:space="preserve">Close the loop visibly, every cycle. </w:t>
      </w:r>
      <w:r>
        <w:rPr>
          <w:rFonts w:ascii="Arial" w:cs="Arial" w:eastAsia="Arial" w:hAnsi="Arial"/>
          <w:color w:val="333333"/>
          <w:sz w:val="20"/>
          <w:szCs w:val="20"/>
        </w:rPr>
        <w:t xml:space="preserve">“You said X. Here's what we're doing. Here's what we can't change and why.” Within two weeks of results.</w:t>
      </w:r>
    </w:p>
    <w:p>
      <w:pPr>
        <w:pStyle w:val="ListParagraph"/>
        <w:numPr>
          <w:ilvl w:val="0"/>
          <w:numId w:val="2"/>
        </w:numPr>
        <w:spacing w:after="70"/>
      </w:pPr>
      <w:r>
        <w:rPr>
          <w:rFonts w:ascii="Arial" w:cs="Arial" w:eastAsia="Arial" w:hAnsi="Arial"/>
          <w:b/>
          <w:bCs/>
          <w:color w:val="333333"/>
          <w:sz w:val="20"/>
          <w:szCs w:val="20"/>
        </w:rPr>
        <w:t xml:space="preserve">Treat falling response rates as data. </w:t>
      </w:r>
      <w:r>
        <w:rPr>
          <w:rFonts w:ascii="Arial" w:cs="Arial" w:eastAsia="Arial" w:hAnsi="Arial"/>
          <w:color w:val="333333"/>
          <w:sz w:val="20"/>
          <w:szCs w:val="20"/>
        </w:rPr>
        <w:t xml:space="preserve">It usually means people stopped believing anything happens with their answers. Fix the acting, not the asking.</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Survey theater. </w:t>
      </w:r>
      <w:r>
        <w:rPr>
          <w:rFonts w:ascii="Arial" w:cs="Arial" w:eastAsia="Arial" w:hAnsi="Arial"/>
          <w:color w:val="333333"/>
          <w:sz w:val="20"/>
          <w:szCs w:val="20"/>
        </w:rPr>
        <w:t xml:space="preserve">Measuring monthly while changing nothing is worse than not measuring. Now there's a record that you knew.</w:t>
      </w:r>
    </w:p>
    <w:p>
      <w:pPr>
        <w:pStyle w:val="ListParagraph"/>
        <w:numPr>
          <w:ilvl w:val="0"/>
          <w:numId w:val="3"/>
        </w:numPr>
        <w:spacing w:after="70"/>
      </w:pPr>
      <w:r>
        <w:rPr>
          <w:rFonts w:ascii="Arial" w:cs="Arial" w:eastAsia="Arial" w:hAnsi="Arial"/>
          <w:b/>
          <w:bCs/>
          <w:color w:val="333333"/>
          <w:sz w:val="20"/>
          <w:szCs w:val="20"/>
        </w:rPr>
        <w:t xml:space="preserve">Anonymity math failures. </w:t>
      </w:r>
      <w:r>
        <w:rPr>
          <w:rFonts w:ascii="Arial" w:cs="Arial" w:eastAsia="Arial" w:hAnsi="Arial"/>
          <w:color w:val="333333"/>
          <w:sz w:val="20"/>
          <w:szCs w:val="20"/>
        </w:rPr>
        <w:t xml:space="preserve">Slicing results down to three-person subgroups un-anonymizes them, and everyone knows it.</w:t>
      </w:r>
    </w:p>
    <w:p>
      <w:pPr>
        <w:pStyle w:val="ListParagraph"/>
        <w:numPr>
          <w:ilvl w:val="0"/>
          <w:numId w:val="3"/>
        </w:numPr>
        <w:spacing w:after="70"/>
      </w:pPr>
      <w:r>
        <w:rPr>
          <w:rFonts w:ascii="Arial" w:cs="Arial" w:eastAsia="Arial" w:hAnsi="Arial"/>
          <w:b/>
          <w:bCs/>
          <w:color w:val="333333"/>
          <w:sz w:val="20"/>
          <w:szCs w:val="20"/>
        </w:rPr>
        <w:t xml:space="preserve">Chasing the score. </w:t>
      </w:r>
      <w:r>
        <w:rPr>
          <w:rFonts w:ascii="Arial" w:cs="Arial" w:eastAsia="Arial" w:hAnsi="Arial"/>
          <w:color w:val="333333"/>
          <w:sz w:val="20"/>
          <w:szCs w:val="20"/>
        </w:rPr>
        <w:t xml:space="preserve">Once a pulse number becomes a manager target, it stops measuring engagement and starts measuring pressure.</w:t>
      </w:r>
    </w:p>
    <w:p>
      <w:pPr>
        <w:pBdr>
          <w:left w:val="single" w:color="6B7A3F" w:sz="18" w:space="10"/>
        </w:pBdr>
        <w:spacing w:after="100" w:before="140"/>
        <w:ind w:left="240"/>
      </w:pPr>
      <w:r>
        <w:rPr>
          <w:rFonts w:ascii="Arial" w:cs="Arial" w:eastAsia="Arial" w:hAnsi="Arial"/>
          <w:i/>
          <w:iCs/>
          <w:color w:val="4A5528"/>
          <w:sz w:val="20"/>
          <w:szCs w:val="20"/>
        </w:rPr>
        <w:t xml:space="preserve">Shortcut: no platform needed. End one team meeting a month with a single anonymous question on a shared form. Open the next meeting with what you're doing about the answers.</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19"/>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2026-07-12T22:30:26.750Z</dcterms:created>
  <dcterms:modified xsi:type="dcterms:W3CDTF">2026-07-12T22:30:26.750Z</dcterms:modified>
</cp:coreProperties>
</file>

<file path=docProps/custom.xml><?xml version="1.0" encoding="utf-8"?>
<Properties xmlns="http://schemas.openxmlformats.org/officeDocument/2006/custom-properties" xmlns:vt="http://schemas.openxmlformats.org/officeDocument/2006/docPropsVTypes"/>
</file>