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</w:pPr>
      <w:r>
        <w:rPr>
          <w:rFonts w:ascii="Arial" w:cs="Arial" w:eastAsia="Arial" w:hAnsi="Arial"/>
          <w:b/>
          <w:bCs/>
          <w:color w:val="6B7A3F"/>
          <w:sz w:val="17"/>
          <w:szCs w:val="17"/>
        </w:rPr>
        <w:t xml:space="preserve">T O O L K I T   G U I D E   4 0   ·   L E A D E R S H I P   E F F I C I E N C Y</w:t>
      </w:r>
    </w:p>
    <w:p>
      <w:pPr>
        <w:pStyle w:val="Heading1"/>
        <w:spacing w:after="60" w:before="0"/>
      </w:pPr>
      <w:r>
        <w:rPr>
          <w:rFonts w:ascii="Arial" w:cs="Arial" w:eastAsia="Arial" w:hAnsi="Arial"/>
          <w:b/>
          <w:bCs/>
          <w:color w:val="333333"/>
          <w:sz w:val="40"/>
          <w:szCs w:val="40"/>
        </w:rPr>
        <w:t xml:space="preserve">Matching Decision Style to the Decision</w:t>
      </w:r>
    </w:p>
    <w:p>
      <w:pPr>
        <w:pBdr>
          <w:bottom w:val="single" w:color="6B7A3F" w:sz="8" w:space="8"/>
        </w:pBdr>
        <w:spacing w:after="200"/>
      </w:pPr>
      <w:r>
        <w:rPr>
          <w:rFonts w:ascii="Arial" w:cs="Arial" w:eastAsia="Arial" w:hAnsi="Arial"/>
          <w:i/>
          <w:iCs/>
          <w:color w:val="6E6E6E"/>
          <w:sz w:val="21"/>
          <w:szCs w:val="21"/>
        </w:rPr>
        <w:t xml:space="preserve">Neither “my call” nor “let's all discuss” is a leadership style. They're tools.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WHAT IT IS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Vroom's decision research formalized what good leaders do by instinct: vary how a decision gets made (decide alone, consult individuals, consult the group, delegate fully) based on the decision's features, not your habits. The diagnostic questions: does quality matter here, who has the information, do I need their commitment, and how much time is there?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WHY IT WORKS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The two failure modes mirror each other. Habitual autocrats decide fast with partial information, then lose the decision in implementation because commitment never got built. Habitual consensus-seekers grind small, reversible calls through meetings and teach everyone that decisions here are slow. Matching style to decision buys speed AND buy-in. It also makes you predictable instead of moody.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HOW TO USE IT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Classify before you decide.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Two questions sort most decisions: do others hold information I lack? Will implementation need their genuine commitment? Two no's: decide alone, fast. Two yes's: involve the group.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Weight reversibility.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Cheap to undo: decide, announce, adjust. Expensive to undo: pay the consultation tax.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Announce the mode out loud.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“This one's my call, but I want your input first” versus “this is the team's decision.” Stated up front. Most consultation resentment comes from people mistaking input-gathering for voting.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Consult for information, not absolution.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If you've already decided, don't stage a discussion. Fake consultation gets discovered instantly and poisons the real kind.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Delegate whole decision classes.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The real efficiency prize isn't delegating decisions one at a time. It's “all decisions of type X under threshold Y are yours.” That's how your calendar comes back to you.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PITFALLS TO AVOID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Style as identity.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“I'm collaborative” or “I'm decisive” as a personality means the decision's needs never get a vote.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Consensus as courage-avoidance.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Some group discussions are really the leader outsourcing an unpopular call. The team can tell.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Relitigating announced modes.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If “my call after input” becomes a vote whenever people push, no announcement means anything.</w:t>
      </w:r>
    </w:p>
    <w:p>
      <w:pPr>
        <w:pBdr>
          <w:left w:val="single" w:color="6B7A3F" w:sz="18" w:space="10"/>
        </w:pBdr>
        <w:spacing w:after="100" w:before="140"/>
        <w:ind w:left="240"/>
      </w:pPr>
      <w:r>
        <w:rPr>
          <w:rFonts w:ascii="Arial" w:cs="Arial" w:eastAsia="Arial" w:hAnsi="Arial"/>
          <w:i/>
          <w:iCs/>
          <w:color w:val="4A5528"/>
          <w:sz w:val="20"/>
          <w:szCs w:val="20"/>
        </w:rPr>
        <w:t xml:space="preserve">Shortcut: for one week, before every non-trivial decision, ask two questions. Who has the information? Whose commitment do I need? Let the answers pick the process.</w:t>
      </w:r>
    </w:p>
    <w:p>
      <w:pPr>
        <w:pBdr>
          <w:top w:val="single" w:color="6B7A3F" w:sz="6" w:space="8"/>
        </w:pBdr>
        <w:spacing w:before="300"/>
      </w:pPr>
      <w:r>
        <w:rPr>
          <w:rFonts w:ascii="Arial" w:cs="Arial" w:eastAsia="Arial" w:hAnsi="Arial"/>
          <w:color w:val="6E6E6E"/>
          <w:sz w:val="17"/>
          <w:szCs w:val="17"/>
        </w:rPr>
        <w:t xml:space="preserve">Jake Vassello  |  IO Psychology &amp; Talent  |  jakevassello.com</w:t>
      </w:r>
    </w:p>
    <w:sectPr>
      <w:pgSz w:w="12240" w:h="15840" w:orient="portrait"/>
      <w:pgMar w:top="1152" w:right="1440" w:bottom="1152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42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2026-07-12T22:30:27.469Z</dcterms:created>
  <dcterms:modified xsi:type="dcterms:W3CDTF">2026-07-12T22:30:27.469Z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