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4 1   ·   L E A D E R S H I P   E F F I C I E N C Y</w:t>
      </w:r>
    </w:p>
    <w:p>
      <w:pPr>
        <w:pStyle w:val="Heading1"/>
        <w:spacing w:after="60" w:before="0"/>
      </w:pPr>
      <w:r>
        <w:rPr>
          <w:rFonts w:ascii="Arial" w:cs="Arial" w:eastAsia="Arial" w:hAnsi="Arial"/>
          <w:b/>
          <w:bCs/>
          <w:color w:val="333333"/>
          <w:sz w:val="40"/>
          <w:szCs w:val="40"/>
        </w:rPr>
        <w:t xml:space="preserve">Transformational Leadership Behaviors</w:t>
      </w:r>
    </w:p>
    <w:p>
      <w:pPr>
        <w:pBdr>
          <w:bottom w:val="single" w:color="6B7A3F" w:sz="8" w:space="8"/>
        </w:pBdr>
        <w:spacing w:after="200"/>
      </w:pPr>
      <w:r>
        <w:rPr>
          <w:rFonts w:ascii="Arial" w:cs="Arial" w:eastAsia="Arial" w:hAnsi="Arial"/>
          <w:i/>
          <w:iCs/>
          <w:color w:val="6E6E6E"/>
          <w:sz w:val="21"/>
          <w:szCs w:val="21"/>
        </w:rPr>
        <w:t xml:space="preserve">The four behaviors with the deepest evidence base, minus the charisma myth</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Full-range leadership research separates transactional leadership (clear expectations, monitoring, reward for performance) from transformational leadership: four behavior clusters. Articulate a meaningful vision. Model the standard yourself. Stimulate people's thinking. Attend to individuals as individuals. Decades of studies link that set to higher performance, engagement, and discretionary effort.</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The important demystification: these are learnable behaviors, not charisma. The training studies show it, and the effects hold for quiet, unglamorous leaders. The transactional base still matters (clarity and fair exchange are the floor), but the ceiling comes from the four behaviors, because they convert “I do this because it's my job” into “I do this because it matters and it's mine.”</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Connect significant tasks to their why. </w:t>
      </w:r>
      <w:r>
        <w:rPr>
          <w:rFonts w:ascii="Arial" w:cs="Arial" w:eastAsia="Arial" w:hAnsi="Arial"/>
          <w:color w:val="333333"/>
          <w:sz w:val="20"/>
          <w:szCs w:val="20"/>
        </w:rPr>
        <w:t xml:space="preserve">Not a mission poster. A sentence: “this analysis is what keeps the pricing decision honest.” Meaning gets assigned locally, task by task, or not at all.</w:t>
      </w:r>
    </w:p>
    <w:p>
      <w:pPr>
        <w:pStyle w:val="ListParagraph"/>
        <w:numPr>
          <w:ilvl w:val="0"/>
          <w:numId w:val="2"/>
        </w:numPr>
        <w:spacing w:after="70"/>
      </w:pPr>
      <w:r>
        <w:rPr>
          <w:rFonts w:ascii="Arial" w:cs="Arial" w:eastAsia="Arial" w:hAnsi="Arial"/>
          <w:b/>
          <w:bCs/>
          <w:color w:val="333333"/>
          <w:sz w:val="20"/>
          <w:szCs w:val="20"/>
        </w:rPr>
        <w:t xml:space="preserve">Model the ask visibly. </w:t>
      </w:r>
      <w:r>
        <w:rPr>
          <w:rFonts w:ascii="Arial" w:cs="Arial" w:eastAsia="Arial" w:hAnsi="Arial"/>
          <w:color w:val="333333"/>
          <w:sz w:val="20"/>
          <w:szCs w:val="20"/>
        </w:rPr>
        <w:t xml:space="preserve">Whatever you're requesting (candor, punctuality, admitting mistakes), the team's real standard is what they watch you do under pressure.</w:t>
      </w:r>
    </w:p>
    <w:p>
      <w:pPr>
        <w:pStyle w:val="ListParagraph"/>
        <w:numPr>
          <w:ilvl w:val="0"/>
          <w:numId w:val="2"/>
        </w:numPr>
        <w:spacing w:after="70"/>
      </w:pPr>
      <w:r>
        <w:rPr>
          <w:rFonts w:ascii="Arial" w:cs="Arial" w:eastAsia="Arial" w:hAnsi="Arial"/>
          <w:b/>
          <w:bCs/>
          <w:color w:val="333333"/>
          <w:sz w:val="20"/>
          <w:szCs w:val="20"/>
        </w:rPr>
        <w:t xml:space="preserve">Ask questions that upgrade thinking. </w:t>
      </w:r>
      <w:r>
        <w:rPr>
          <w:rFonts w:ascii="Arial" w:cs="Arial" w:eastAsia="Arial" w:hAnsi="Arial"/>
          <w:color w:val="333333"/>
          <w:sz w:val="20"/>
          <w:szCs w:val="20"/>
        </w:rPr>
        <w:t xml:space="preserve">“What would change your mind?” “What's the assumption under this plan?” “How would our competitor attack it?” Intellectual stimulation is mostly disciplined curiosity, done in public.</w:t>
      </w:r>
    </w:p>
    <w:p>
      <w:pPr>
        <w:pStyle w:val="ListParagraph"/>
        <w:numPr>
          <w:ilvl w:val="0"/>
          <w:numId w:val="2"/>
        </w:numPr>
        <w:spacing w:after="70"/>
      </w:pPr>
      <w:r>
        <w:rPr>
          <w:rFonts w:ascii="Arial" w:cs="Arial" w:eastAsia="Arial" w:hAnsi="Arial"/>
          <w:b/>
          <w:bCs/>
          <w:color w:val="333333"/>
          <w:sz w:val="20"/>
          <w:szCs w:val="20"/>
        </w:rPr>
        <w:t xml:space="preserve">Individualize on purpose. </w:t>
      </w:r>
      <w:r>
        <w:rPr>
          <w:rFonts w:ascii="Arial" w:cs="Arial" w:eastAsia="Arial" w:hAnsi="Arial"/>
          <w:color w:val="333333"/>
          <w:sz w:val="20"/>
          <w:szCs w:val="20"/>
        </w:rPr>
        <w:t xml:space="preserve">One conversation per person per quarter about their goals, not the team's. Knowing what each person is trying to become is the cheapest of the four behaviors and the most skipped.</w:t>
      </w:r>
    </w:p>
    <w:p>
      <w:pPr>
        <w:pStyle w:val="ListParagraph"/>
        <w:numPr>
          <w:ilvl w:val="0"/>
          <w:numId w:val="2"/>
        </w:numPr>
        <w:spacing w:after="70"/>
      </w:pPr>
      <w:r>
        <w:rPr>
          <w:rFonts w:ascii="Arial" w:cs="Arial" w:eastAsia="Arial" w:hAnsi="Arial"/>
          <w:b/>
          <w:bCs/>
          <w:color w:val="333333"/>
          <w:sz w:val="20"/>
          <w:szCs w:val="20"/>
        </w:rPr>
        <w:t xml:space="preserve">Keep the transactional floor solid. </w:t>
      </w:r>
      <w:r>
        <w:rPr>
          <w:rFonts w:ascii="Arial" w:cs="Arial" w:eastAsia="Arial" w:hAnsi="Arial"/>
          <w:color w:val="333333"/>
          <w:sz w:val="20"/>
          <w:szCs w:val="20"/>
        </w:rPr>
        <w:t xml:space="preserve">Vision on top of unclear expectations and unfair rewards reads as manipulation. Clarity first, meaning second. In that order.</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Vision inflation. </w:t>
      </w:r>
      <w:r>
        <w:rPr>
          <w:rFonts w:ascii="Arial" w:cs="Arial" w:eastAsia="Arial" w:hAnsi="Arial"/>
          <w:color w:val="333333"/>
          <w:sz w:val="20"/>
          <w:szCs w:val="20"/>
        </w:rPr>
        <w:t xml:space="preserve">Grand language attached to routine work erodes trust in all your language. Match the meaning to the reality of the task.</w:t>
      </w:r>
    </w:p>
    <w:p>
      <w:pPr>
        <w:pStyle w:val="ListParagraph"/>
        <w:numPr>
          <w:ilvl w:val="0"/>
          <w:numId w:val="3"/>
        </w:numPr>
        <w:spacing w:after="70"/>
      </w:pPr>
      <w:r>
        <w:rPr>
          <w:rFonts w:ascii="Arial" w:cs="Arial" w:eastAsia="Arial" w:hAnsi="Arial"/>
          <w:b/>
          <w:bCs/>
          <w:color w:val="333333"/>
          <w:sz w:val="20"/>
          <w:szCs w:val="20"/>
        </w:rPr>
        <w:t xml:space="preserve">Charisma theater. </w:t>
      </w:r>
      <w:r>
        <w:rPr>
          <w:rFonts w:ascii="Arial" w:cs="Arial" w:eastAsia="Arial" w:hAnsi="Arial"/>
          <w:color w:val="333333"/>
          <w:sz w:val="20"/>
          <w:szCs w:val="20"/>
        </w:rPr>
        <w:t xml:space="preserve">Performing inspiration without the modeling and the individual attention is the empty-calories version. Teams metabolize it within a quarter.</w:t>
      </w:r>
    </w:p>
    <w:p>
      <w:pPr>
        <w:pStyle w:val="ListParagraph"/>
        <w:numPr>
          <w:ilvl w:val="0"/>
          <w:numId w:val="3"/>
        </w:numPr>
        <w:spacing w:after="70"/>
      </w:pPr>
      <w:r>
        <w:rPr>
          <w:rFonts w:ascii="Arial" w:cs="Arial" w:eastAsia="Arial" w:hAnsi="Arial"/>
          <w:b/>
          <w:bCs/>
          <w:color w:val="333333"/>
          <w:sz w:val="20"/>
          <w:szCs w:val="20"/>
        </w:rPr>
        <w:t xml:space="preserve">All ceiling, no floor. </w:t>
      </w:r>
      <w:r>
        <w:rPr>
          <w:rFonts w:ascii="Arial" w:cs="Arial" w:eastAsia="Arial" w:hAnsi="Arial"/>
          <w:color w:val="333333"/>
          <w:sz w:val="20"/>
          <w:szCs w:val="20"/>
        </w:rPr>
        <w:t xml:space="preserve">Skip the basics (goals, feedback, fair exchange) to focus on inspiration and you get a motivated team with no idea what to do.</w:t>
      </w:r>
    </w:p>
    <w:p>
      <w:pPr>
        <w:pBdr>
          <w:left w:val="single" w:color="6B7A3F" w:sz="18" w:space="10"/>
        </w:pBdr>
        <w:spacing w:after="100" w:before="140"/>
        <w:ind w:left="240"/>
      </w:pPr>
      <w:r>
        <w:rPr>
          <w:rFonts w:ascii="Arial" w:cs="Arial" w:eastAsia="Arial" w:hAnsi="Arial"/>
          <w:i/>
          <w:iCs/>
          <w:color w:val="4A5528"/>
          <w:sz w:val="20"/>
          <w:szCs w:val="20"/>
        </w:rPr>
        <w:t xml:space="preserve">Shortcut: pick your weakest of the four. Most managers know instantly. Run one behavior from it weekly for a quarter. These are skills, and skills respond to reps.</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4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2026-07-12T22:30:27.496Z</dcterms:created>
  <dcterms:modified xsi:type="dcterms:W3CDTF">2026-07-12T22:30:27.496Z</dcterms:modified>
</cp:coreProperties>
</file>

<file path=docProps/custom.xml><?xml version="1.0" encoding="utf-8"?>
<Properties xmlns="http://schemas.openxmlformats.org/officeDocument/2006/custom-properties" xmlns:vt="http://schemas.openxmlformats.org/officeDocument/2006/docPropsVTypes"/>
</file>